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01" w:rsidRDefault="00907101" w:rsidP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b/>
          <w:sz w:val="32"/>
          <w:szCs w:val="32"/>
        </w:rPr>
        <w:t>Реестр документов по организации работы по профориентации</w:t>
      </w:r>
      <w:r w:rsidRPr="009071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EE0" w:rsidRPr="00F80EE0" w:rsidRDefault="00F80EE0" w:rsidP="00907101">
      <w:pPr>
        <w:rPr>
          <w:rFonts w:ascii="Times New Roman" w:hAnsi="Times New Roman" w:cs="Times New Roman"/>
          <w:sz w:val="32"/>
          <w:szCs w:val="32"/>
          <w:u w:val="single"/>
        </w:rPr>
      </w:pPr>
      <w:r w:rsidRPr="00F80EE0">
        <w:rPr>
          <w:rFonts w:ascii="Times New Roman" w:hAnsi="Times New Roman" w:cs="Times New Roman"/>
          <w:sz w:val="32"/>
          <w:szCs w:val="32"/>
          <w:u w:val="single"/>
        </w:rPr>
        <w:t>Федеральный уровень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 1. Федеральный закон от 19.04.1991 № 1032-1 «О занятости населения в Российской Федерации».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2. Федеральный закон от 28.06.1995 № 98-ФЗ (ред. от 05.04.2013) «О государственной поддержке молодежных и детских общественных объединений».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3. Постановление Минтруда РФ от 27.09.1996 № 1 «Об утверждении Положения о профессиональной ориентации и психологической поддержке населения в Российской Федерации».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4. Федеральный закон от 21.12.1996 № 159-ФЗ (ред. от 07.03.2018) «О дополнительных гарантиях по социальной поддержке детей-сирот и детей, оставшихся без попечения родителей».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5. Федеральный закон от 24.07.1998 № 124-ФЗ (ред. от 05.04.2013) «Об основных гарантиях прав ребенка в Российской Федерации».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6. Федеральный закон от 24.06.1999 № 120-ФЗ (ред. от 27.06.2018) «Об основах системы профилактики безнадзорности и правонарушений несовершеннолетних».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7. Федеральный закон от 29.12.2012 № 273-ФЗ «Об образовании в Российской Федерации».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8. Указ Президента Российской Федерации от 07.05.2012 № 599 «О мерах по реализации государственной политики в области образования и науки».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>9. Указ Президента Российской Федерации от 16.01.2017 № 13 «Об утверждении основ государственной политики регионального развит</w:t>
      </w:r>
      <w:r>
        <w:rPr>
          <w:rFonts w:ascii="Times New Roman" w:hAnsi="Times New Roman" w:cs="Times New Roman"/>
          <w:sz w:val="32"/>
          <w:szCs w:val="32"/>
        </w:rPr>
        <w:t xml:space="preserve">ия на период до 2025 года».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10. Указ Президента Российской Федерации от 7 мая 2018 года № 204 «О национальных целях и стратегических задачах развития Российской Федерации до 2024 года».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lastRenderedPageBreak/>
        <w:t xml:space="preserve">11. Указ Президента Российской Федерации от 21 июля 2020 года № 474 «О национальных целях развития Российской Федерации на период до 2030 года».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12. </w:t>
      </w:r>
      <w:proofErr w:type="gramStart"/>
      <w:r w:rsidRPr="00907101">
        <w:rPr>
          <w:rFonts w:ascii="Times New Roman" w:hAnsi="Times New Roman" w:cs="Times New Roman"/>
          <w:sz w:val="32"/>
          <w:szCs w:val="32"/>
        </w:rPr>
        <w:t xml:space="preserve"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№ 16). </w:t>
      </w:r>
      <w:proofErr w:type="gramEnd"/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13. Паспорт федерального проекта «Молодые профессионалы (Повышение конкурентоспособности профессионального образования)»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№ 16)).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14. Паспорт федерального проекта «Кадры для цифровой экономики» национальной программы «Цифровая экономика Российской Федерации» (утвержден президиумом Совета при Президенте Российской Федерации по стратегическому развитию и национальным проектам (протокол от 28 мая 2019 г. № 9)).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15. Паспорт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 (утвержден протоколом президиума Совета при Президенте Российской Федерации по стратегическому развитию и приоритетным проектам от 25 октября 2016 г. № 9).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16. Паспорт приоритетного проекта «Доступное дополнительное образование для детей» (утвержден протоколом президиума Совета при Президенте Российской Федерации по стратегическому развитию и приоритетным проектам от 30 ноября 2016 г. № 11).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17. </w:t>
      </w:r>
      <w:proofErr w:type="gramStart"/>
      <w:r w:rsidRPr="00907101">
        <w:rPr>
          <w:rFonts w:ascii="Times New Roman" w:hAnsi="Times New Roman" w:cs="Times New Roman"/>
          <w:sz w:val="32"/>
          <w:szCs w:val="32"/>
        </w:rPr>
        <w:t xml:space="preserve">Паспорт федерального проекта «Новые возможности для каждого» национального проекта «Образование» (утвержден </w:t>
      </w:r>
      <w:r w:rsidRPr="00907101">
        <w:rPr>
          <w:rFonts w:ascii="Times New Roman" w:hAnsi="Times New Roman" w:cs="Times New Roman"/>
          <w:sz w:val="32"/>
          <w:szCs w:val="32"/>
        </w:rPr>
        <w:lastRenderedPageBreak/>
        <w:t>президиумом Совета при Президенте Российской Федерации по стратегическому развитию и национальным проектам (протокол от 24 декабря 2018 г. № 16). 14 18.</w:t>
      </w:r>
      <w:proofErr w:type="gramEnd"/>
      <w:r w:rsidRPr="00907101">
        <w:rPr>
          <w:rFonts w:ascii="Times New Roman" w:hAnsi="Times New Roman" w:cs="Times New Roman"/>
          <w:sz w:val="32"/>
          <w:szCs w:val="32"/>
        </w:rPr>
        <w:t xml:space="preserve"> Постановление Правительства РФ от 26 декабря 2017 г. № 1642 «Об утверждении государственной программы Российской Федерации «Развитие образования».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19. Распоряжение Правительства Российской Федерации от 13.02.2019 № 207-р «Об утверждении Стратегии пространственного развития Российской Федерации на период до 2025 года».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20. Приказ Министерства труда Российской Федерации № 390, Министерства образования и науки Российской Федерации № 985 от 27 августа 2013 г. «О межведомственном координационном совете по профессиональной ориентации молодежи».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21. Приказ Министерства труда и социальной защиты Российской Федерации от 25.02.2022 № 82н «Об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22.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(с изменениями на 21.01.2019).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23.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0710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07101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24. Приказ Министерства образования и науки Российской Федерации от 19.12.2014 № 1599 «Об утверждении федерального </w:t>
      </w:r>
      <w:r w:rsidRPr="00907101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государственного образовательного стандарта образования </w:t>
      </w:r>
      <w:proofErr w:type="gramStart"/>
      <w:r w:rsidRPr="0090710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07101">
        <w:rPr>
          <w:rFonts w:ascii="Times New Roman" w:hAnsi="Times New Roman" w:cs="Times New Roman"/>
          <w:sz w:val="32"/>
          <w:szCs w:val="32"/>
        </w:rPr>
        <w:t xml:space="preserve"> с умственной отсталостью (интеллектуальными нарушениями)».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>25. Приказ Министерства труда и социального развития Российской Федерации от 24.07.2015 № 514н «Об утверждении профессионального стандарта «Педагог-психолог (пси</w:t>
      </w:r>
      <w:r>
        <w:rPr>
          <w:rFonts w:ascii="Times New Roman" w:hAnsi="Times New Roman" w:cs="Times New Roman"/>
          <w:sz w:val="32"/>
          <w:szCs w:val="32"/>
        </w:rPr>
        <w:t xml:space="preserve">холог в сфере образования)».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26. Письмо Министерства образования и науки Российской Федерации от 2 февраля 2016 года № ВК-163/07 «О направлении методических рекомендаций» (вместе с «Методическими рекомендациями по подготовке и организации профессионального ориентирования обучающихся с инвалидностью и ОВЗ в инклюзивных школах»). </w:t>
      </w:r>
    </w:p>
    <w:p w:rsidR="00907101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27. Приказ Министерства труда и социального развития Российской Федерации от 10.01.2017 № 10н «Об утверждении профессионального стандарта «Специалист в области воспитания». </w:t>
      </w:r>
    </w:p>
    <w:p w:rsidR="007E4A7C" w:rsidRDefault="00907101">
      <w:pPr>
        <w:rPr>
          <w:rFonts w:ascii="Times New Roman" w:hAnsi="Times New Roman" w:cs="Times New Roman"/>
          <w:sz w:val="32"/>
          <w:szCs w:val="32"/>
        </w:rPr>
      </w:pPr>
      <w:r w:rsidRPr="00907101">
        <w:rPr>
          <w:rFonts w:ascii="Times New Roman" w:hAnsi="Times New Roman" w:cs="Times New Roman"/>
          <w:sz w:val="32"/>
          <w:szCs w:val="32"/>
        </w:rPr>
        <w:t xml:space="preserve">28. 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80EE0" w:rsidRPr="00F80EE0" w:rsidRDefault="00F80EE0" w:rsidP="00F80EE0">
      <w:pPr>
        <w:pStyle w:val="a3"/>
        <w:shd w:val="clear" w:color="auto" w:fill="FFFFFF"/>
        <w:spacing w:before="70" w:beforeAutospacing="0" w:after="163" w:afterAutospacing="0"/>
        <w:rPr>
          <w:sz w:val="32"/>
          <w:szCs w:val="32"/>
        </w:rPr>
      </w:pPr>
      <w:r>
        <w:rPr>
          <w:sz w:val="32"/>
          <w:szCs w:val="32"/>
        </w:rPr>
        <w:t>29.</w:t>
      </w:r>
      <w:hyperlink r:id="rId5" w:tgtFrame="_blank" w:history="1">
        <w:r w:rsidRPr="00F80EE0">
          <w:rPr>
            <w:rStyle w:val="a4"/>
            <w:color w:val="auto"/>
            <w:sz w:val="32"/>
            <w:szCs w:val="32"/>
            <w:u w:val="none"/>
          </w:rPr>
          <w:t>Перечень поручений Президента Российской Федерации по итогам заседания Президиума Государственного Совета Российской Федерации 25 августа 2021 г. (утвержден 24.09.2021)</w:t>
        </w:r>
      </w:hyperlink>
    </w:p>
    <w:p w:rsidR="00F80EE0" w:rsidRPr="00F80EE0" w:rsidRDefault="00F80EE0" w:rsidP="00F80EE0">
      <w:pPr>
        <w:pStyle w:val="a3"/>
        <w:shd w:val="clear" w:color="auto" w:fill="FFFFFF"/>
        <w:spacing w:before="70" w:beforeAutospacing="0" w:after="163" w:afterAutospacing="0"/>
        <w:rPr>
          <w:sz w:val="32"/>
          <w:szCs w:val="32"/>
        </w:rPr>
      </w:pPr>
      <w:r>
        <w:rPr>
          <w:sz w:val="32"/>
          <w:szCs w:val="32"/>
        </w:rPr>
        <w:t xml:space="preserve">30. </w:t>
      </w:r>
      <w:hyperlink r:id="rId6" w:tgtFrame="_blank" w:history="1">
        <w:r w:rsidRPr="00F80EE0">
          <w:rPr>
            <w:rStyle w:val="a4"/>
            <w:color w:val="auto"/>
            <w:sz w:val="32"/>
            <w:szCs w:val="32"/>
            <w:u w:val="none"/>
          </w:rPr>
          <w:t>Ключевые тезисы концепции профессионального самоопределения в условиях постиндустриальной эпохи</w:t>
        </w:r>
      </w:hyperlink>
    </w:p>
    <w:p w:rsidR="00F80EE0" w:rsidRPr="00F80EE0" w:rsidRDefault="00F80EE0" w:rsidP="00F80EE0">
      <w:pPr>
        <w:pStyle w:val="a3"/>
        <w:shd w:val="clear" w:color="auto" w:fill="FFFFFF"/>
        <w:spacing w:before="70" w:beforeAutospacing="0" w:after="163" w:afterAutospacing="0"/>
        <w:rPr>
          <w:sz w:val="32"/>
          <w:szCs w:val="32"/>
        </w:rPr>
      </w:pPr>
      <w:r>
        <w:rPr>
          <w:sz w:val="32"/>
          <w:szCs w:val="32"/>
        </w:rPr>
        <w:t>31.</w:t>
      </w:r>
      <w:hyperlink r:id="rId7" w:tgtFrame="_blank" w:history="1">
        <w:proofErr w:type="gramStart"/>
        <w:r w:rsidRPr="00F80EE0">
          <w:rPr>
            <w:rStyle w:val="a4"/>
            <w:color w:val="auto"/>
            <w:sz w:val="32"/>
            <w:szCs w:val="32"/>
            <w:u w:val="none"/>
          </w:rPr>
          <w:t>Сопровождение профессионального самоопределения обучающихся в условиях непрерывного образования (Концепция и Стратегия)</w:t>
        </w:r>
      </w:hyperlink>
      <w:proofErr w:type="gramEnd"/>
    </w:p>
    <w:p w:rsidR="00F80EE0" w:rsidRPr="00F80EE0" w:rsidRDefault="00F80EE0" w:rsidP="00F80EE0">
      <w:pPr>
        <w:pStyle w:val="a3"/>
        <w:shd w:val="clear" w:color="auto" w:fill="FFFFFF"/>
        <w:spacing w:before="70" w:beforeAutospacing="0" w:after="163" w:afterAutospacing="0"/>
        <w:rPr>
          <w:sz w:val="32"/>
          <w:szCs w:val="32"/>
        </w:rPr>
      </w:pPr>
      <w:r>
        <w:rPr>
          <w:sz w:val="32"/>
          <w:szCs w:val="32"/>
        </w:rPr>
        <w:t>32.</w:t>
      </w:r>
      <w:hyperlink r:id="rId8" w:tgtFrame="_blank" w:history="1">
        <w:r w:rsidRPr="00F80EE0">
          <w:rPr>
            <w:rStyle w:val="a4"/>
            <w:color w:val="auto"/>
            <w:sz w:val="32"/>
            <w:szCs w:val="32"/>
            <w:u w:val="none"/>
          </w:rPr>
          <w:t>Региональный стандарт кадрового обеспечения промышленного роста</w:t>
        </w:r>
      </w:hyperlink>
    </w:p>
    <w:p w:rsidR="00F80EE0" w:rsidRDefault="00F80EE0" w:rsidP="00F80EE0">
      <w:pPr>
        <w:pStyle w:val="a3"/>
        <w:shd w:val="clear" w:color="auto" w:fill="FFFFFF"/>
        <w:spacing w:before="70" w:beforeAutospacing="0" w:after="163" w:afterAutospacing="0"/>
        <w:rPr>
          <w:sz w:val="32"/>
          <w:szCs w:val="32"/>
        </w:rPr>
      </w:pPr>
      <w:r>
        <w:rPr>
          <w:sz w:val="32"/>
          <w:szCs w:val="32"/>
        </w:rPr>
        <w:t>33.</w:t>
      </w:r>
      <w:hyperlink r:id="rId9" w:tgtFrame="_blank" w:history="1">
        <w:r w:rsidRPr="00F80EE0">
          <w:rPr>
            <w:rStyle w:val="a4"/>
            <w:color w:val="auto"/>
            <w:sz w:val="32"/>
            <w:szCs w:val="32"/>
            <w:u w:val="none"/>
          </w:rPr>
          <w:t>Письмо Федеральной службы по надзору в сфере образования и науки от 19.03.2021 N 01-58/13-01</w:t>
        </w:r>
      </w:hyperlink>
    </w:p>
    <w:p w:rsidR="00F80EE0" w:rsidRDefault="00F80EE0" w:rsidP="00F80EE0">
      <w:pPr>
        <w:pStyle w:val="a3"/>
        <w:shd w:val="clear" w:color="auto" w:fill="FFFFFF"/>
        <w:spacing w:before="70" w:beforeAutospacing="0" w:after="163" w:afterAutospacing="0"/>
        <w:rPr>
          <w:sz w:val="32"/>
          <w:szCs w:val="32"/>
          <w:u w:val="single"/>
        </w:rPr>
      </w:pPr>
      <w:r w:rsidRPr="00F80EE0">
        <w:rPr>
          <w:sz w:val="32"/>
          <w:szCs w:val="32"/>
          <w:u w:val="single"/>
        </w:rPr>
        <w:lastRenderedPageBreak/>
        <w:t>Региональный уровень</w:t>
      </w:r>
    </w:p>
    <w:p w:rsidR="00C90759" w:rsidRDefault="00C90759" w:rsidP="00C90759">
      <w:pPr>
        <w:pStyle w:val="a3"/>
        <w:numPr>
          <w:ilvl w:val="0"/>
          <w:numId w:val="1"/>
        </w:numPr>
        <w:shd w:val="clear" w:color="auto" w:fill="FFFFFF"/>
        <w:spacing w:before="70" w:beforeAutospacing="0" w:after="163" w:afterAutospacing="0"/>
        <w:rPr>
          <w:sz w:val="32"/>
          <w:szCs w:val="32"/>
        </w:rPr>
      </w:pPr>
      <w:r w:rsidRPr="00C90759">
        <w:rPr>
          <w:sz w:val="32"/>
          <w:szCs w:val="32"/>
        </w:rPr>
        <w:t>Письмо управления оценки качества образования и контроля (надзора) за деятельностью органов государственной власти субъектов РФ от 25.05.2021 № 08-99 «О проведении мониторинга эффективности механизмов управления качеством образования в субъектах РФ».</w:t>
      </w:r>
    </w:p>
    <w:p w:rsidR="00C90759" w:rsidRDefault="00C90759" w:rsidP="00C90759">
      <w:pPr>
        <w:pStyle w:val="a3"/>
        <w:numPr>
          <w:ilvl w:val="0"/>
          <w:numId w:val="1"/>
        </w:numPr>
        <w:shd w:val="clear" w:color="auto" w:fill="FFFFFF"/>
        <w:spacing w:before="70" w:beforeAutospacing="0" w:after="163" w:afterAutospacing="0"/>
        <w:rPr>
          <w:sz w:val="32"/>
          <w:szCs w:val="32"/>
        </w:rPr>
      </w:pPr>
      <w:r>
        <w:rPr>
          <w:sz w:val="32"/>
          <w:szCs w:val="32"/>
        </w:rPr>
        <w:t>Методические рекомендации по организации и проведению механизмов управления качеством образования в субъектах РФ.</w:t>
      </w:r>
    </w:p>
    <w:p w:rsidR="00C90759" w:rsidRPr="00C90759" w:rsidRDefault="00C90759" w:rsidP="00C90759">
      <w:pPr>
        <w:pStyle w:val="a3"/>
        <w:numPr>
          <w:ilvl w:val="0"/>
          <w:numId w:val="1"/>
        </w:numPr>
        <w:shd w:val="clear" w:color="auto" w:fill="FFFFFF"/>
        <w:spacing w:before="70" w:beforeAutospacing="0" w:after="163" w:afterAutospacing="0"/>
        <w:rPr>
          <w:sz w:val="32"/>
          <w:szCs w:val="32"/>
        </w:rPr>
      </w:pPr>
      <w:r>
        <w:rPr>
          <w:sz w:val="32"/>
          <w:szCs w:val="32"/>
        </w:rPr>
        <w:t>Критерии оценки механизмов управления качеством образования органов местного самоуправления.</w:t>
      </w:r>
    </w:p>
    <w:p w:rsidR="00C90759" w:rsidRPr="00C90759" w:rsidRDefault="00C90759" w:rsidP="00F80EE0">
      <w:pPr>
        <w:pStyle w:val="a3"/>
        <w:shd w:val="clear" w:color="auto" w:fill="FFFFFF"/>
        <w:spacing w:before="70" w:beforeAutospacing="0" w:after="163" w:afterAutospacing="0"/>
        <w:rPr>
          <w:sz w:val="32"/>
          <w:szCs w:val="32"/>
        </w:rPr>
      </w:pPr>
    </w:p>
    <w:p w:rsidR="00907101" w:rsidRPr="00907101" w:rsidRDefault="00907101">
      <w:pPr>
        <w:rPr>
          <w:rFonts w:ascii="Times New Roman" w:hAnsi="Times New Roman" w:cs="Times New Roman"/>
          <w:sz w:val="32"/>
          <w:szCs w:val="32"/>
        </w:rPr>
      </w:pPr>
    </w:p>
    <w:sectPr w:rsidR="00907101" w:rsidRPr="00907101" w:rsidSect="007E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CE5"/>
    <w:multiLevelType w:val="hybridMultilevel"/>
    <w:tmpl w:val="390C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07101"/>
    <w:rsid w:val="007E4A7C"/>
    <w:rsid w:val="00907101"/>
    <w:rsid w:val="00C90759"/>
    <w:rsid w:val="00F8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rs-yar.ru/files/spec/reg_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rs-yar.ru/files/spec/soprovojd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rs-yar.ru/files/spec/ktkp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urs-yar.ru/files/spec/01_31053_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urs-yar.ru/files/spec/01_09246_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2024-03-22T10:58:00Z</dcterms:created>
  <dcterms:modified xsi:type="dcterms:W3CDTF">2024-03-22T11:19:00Z</dcterms:modified>
</cp:coreProperties>
</file>